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Obec Teplička, Teplička č.p. 40, 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719580" cy="1151890"/>
            <wp:effectExtent l="0" t="0" r="0" b="0"/>
            <wp:docPr id="1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kreslenáCA505P6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schválená</w:t>
      </w:r>
      <w:r>
        <w:rPr>
          <w:rFonts w:cs="Times New Roman" w:ascii="Times New Roman" w:hAnsi="Times New Roman"/>
          <w:b/>
          <w:sz w:val="36"/>
          <w:szCs w:val="36"/>
        </w:rPr>
        <w:t xml:space="preserve"> -  Účetní závěrka obce Teplička  za rok 2021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1. Komentář k účetní závěrce obce za rok 2021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ab/>
        <w:t>Zastupitelstvo obce schvaluje do 30.6. běžného roku, účetní závěrku a závěrečný účet obce    za předchozí rok. Postup pro schvalování účetní závěrky stanovuje vyhláška číslo 220/2013 Sb.</w:t>
      </w:r>
    </w:p>
    <w:p>
      <w:pPr>
        <w:pStyle w:val="Normal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Závaznými právními předpisy k účetní závěrce jsou Výkaz Rozvaha (majetek, závazky, vlastní zdroje), Výkaz zisku a ztráty (výkonnost, finanční pozice). Příloha účetní závěrky (doplňující  a vysvětlující informace k výkazům        a další skutečnost). Zpráva o výsledku přezkoumání hospodaření, Inventarizační zpráva a zprávy o výsledcích finančních kontrol pokud jsou k dispozici.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Na základě provádějící vyhlášky č. 410/2009 Sb., kterou se provádějí některá ustanovení zákona č. 563/1991 Sb., o účetnictví dochází k zásadnímu „z</w:t>
      </w:r>
      <w:bookmarkStart w:id="0" w:name="_GoBack"/>
      <w:bookmarkEnd w:id="0"/>
      <w:r>
        <w:rPr>
          <w:rFonts w:cs="Times New Roman" w:ascii="Times New Roman" w:hAnsi="Times New Roman"/>
          <w:sz w:val="22"/>
          <w:szCs w:val="22"/>
        </w:rPr>
        <w:t xml:space="preserve">detailnění“ struktury výnosů (účty třídy 6) a nákladů (účty třídy 5). Účty výnosů a nákladů se nezúčtovávají do rozvahy, ale tvoří samostatný výkaz zisku a ztrát. Struktura výnosových a nákla- dových účtů je shodná pro hlavní i hospodářskou činnost. Výsledek hospodaření t.j. rozdíl mezi výnosy a náklady, činí v hlavní činnosti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zisk před zdanění ve výši  </w:t>
      </w:r>
      <w:r>
        <w:rPr>
          <w:rFonts w:cs="Times New Roman" w:ascii="Times New Roman" w:hAnsi="Times New Roman"/>
          <w:color w:val="000000"/>
          <w:sz w:val="22"/>
          <w:szCs w:val="22"/>
          <w:highlight w:val="white"/>
        </w:rPr>
        <w:t>122006,55 Kč</w:t>
      </w:r>
    </w:p>
    <w:p>
      <w:pPr>
        <w:pStyle w:val="ListParagraph"/>
        <w:numPr>
          <w:ilvl w:val="0"/>
          <w:numId w:val="1"/>
        </w:numPr>
        <w:ind w:left="426" w:hanging="36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Pohledávky a závazky obce k  31.12.2021</w:t>
      </w:r>
    </w:p>
    <w:p>
      <w:pPr>
        <w:pStyle w:val="Normal"/>
        <w:ind w:left="360" w:hanging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u w:val="single"/>
        </w:rPr>
        <w:t>Pohledávky</w:t>
      </w:r>
      <w:r>
        <w:rPr>
          <w:rFonts w:cs="Times New Roman" w:ascii="Times New Roman" w:hAnsi="Times New Roman"/>
          <w:b/>
          <w:color w:val="000000"/>
          <w:sz w:val="22"/>
          <w:szCs w:val="22"/>
          <w:u w:val="none"/>
        </w:rPr>
        <w:t xml:space="preserve">     </w:t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none"/>
        </w:rPr>
        <w:t>314</w:t>
        <w:tab/>
        <w:t>krátkodobé poskytnuté zálohy</w:t>
        <w:tab/>
        <w:tab/>
        <w:tab/>
        <w:tab/>
        <w:tab/>
        <w:tab/>
        <w:t xml:space="preserve">12000,-                                                                    </w:t>
        <w:tab/>
        <w:tab/>
        <w:tab/>
        <w:t>343</w:t>
        <w:tab/>
        <w:t>daň z přidané hodnoty</w:t>
        <w:tab/>
        <w:tab/>
        <w:tab/>
        <w:tab/>
        <w:tab/>
        <w:tab/>
        <w:tab/>
        <w:t xml:space="preserve">11589,08                               </w:t>
        <w:tab/>
        <w:tab/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Pohledávky celkem</w:t>
        <w:tab/>
        <w:tab/>
        <w:tab/>
        <w:tab/>
        <w:tab/>
        <w:tab/>
        <w:t xml:space="preserve">          23589,08</w:t>
      </w:r>
    </w:p>
    <w:p>
      <w:pPr>
        <w:pStyle w:val="Normal"/>
        <w:ind w:firstLine="360"/>
        <w:jc w:val="left"/>
        <w:rPr/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Závazky</w:t>
      </w:r>
      <w:r>
        <w:rPr>
          <w:rFonts w:cs="Times New Roman" w:ascii="Times New Roman" w:hAnsi="Times New Roman"/>
          <w:b/>
          <w:sz w:val="22"/>
          <w:szCs w:val="22"/>
          <w:u w:val="none"/>
        </w:rPr>
        <w:tab/>
        <w:tab/>
      </w:r>
      <w:r>
        <w:rPr>
          <w:rFonts w:cs="Times New Roman" w:ascii="Times New Roman" w:hAnsi="Times New Roman"/>
          <w:sz w:val="22"/>
          <w:szCs w:val="22"/>
          <w:u w:val="none"/>
        </w:rPr>
        <w:t>321</w:t>
      </w:r>
      <w:r>
        <w:rPr>
          <w:rFonts w:cs="Times New Roman" w:ascii="Times New Roman" w:hAnsi="Times New Roman"/>
          <w:sz w:val="22"/>
          <w:szCs w:val="22"/>
        </w:rPr>
        <w:tab/>
        <w:t xml:space="preserve">Dodavatelé </w:t>
        <w:tab/>
        <w:tab/>
        <w:tab/>
        <w:tab/>
        <w:tab/>
        <w:tab/>
        <w:tab/>
        <w:tab/>
        <w:t xml:space="preserve">  1667,54           </w:t>
        <w:tab/>
        <w:tab/>
        <w:tab/>
        <w:t xml:space="preserve">331 </w:t>
        <w:tab/>
        <w:t>zaměstnanci</w:t>
        <w:tab/>
        <w:tab/>
        <w:tab/>
        <w:tab/>
        <w:tab/>
        <w:tab/>
        <w:tab/>
        <w:tab/>
        <w:t xml:space="preserve"> 47977,-        </w:t>
        <w:tab/>
        <w:tab/>
        <w:tab/>
        <w:t>337</w:t>
        <w:tab/>
        <w:t xml:space="preserve">zdravotní pojištění      </w:t>
        <w:tab/>
        <w:tab/>
        <w:tab/>
        <w:tab/>
        <w:tab/>
        <w:tab/>
        <w:t xml:space="preserve"> </w:t>
        <w:tab/>
        <w:t xml:space="preserve">  7167,-          </w:t>
        <w:tab/>
        <w:tab/>
        <w:tab/>
        <w:t xml:space="preserve">336 </w:t>
        <w:tab/>
        <w:t>sociální zabezpečení</w:t>
        <w:tab/>
        <w:tab/>
        <w:tab/>
        <w:tab/>
        <w:tab/>
        <w:tab/>
        <w:tab/>
        <w:t xml:space="preserve"> 26894,-       </w:t>
        <w:tab/>
        <w:tab/>
        <w:tab/>
        <w:t>342</w:t>
        <w:tab/>
        <w:t>ostatní daně, poplatky a pod.pen.plnění</w:t>
        <w:tab/>
        <w:tab/>
        <w:tab/>
        <w:tab/>
        <w:tab/>
        <w:t xml:space="preserve">   9358,-       </w:t>
        <w:tab/>
        <w:tab/>
        <w:tab/>
        <w:t>389</w:t>
        <w:tab/>
        <w:t xml:space="preserve">Dohadné účty pasivní </w:t>
        <w:tab/>
        <w:tab/>
        <w:tab/>
        <w:tab/>
        <w:tab/>
        <w:tab/>
        <w:tab/>
        <w:t xml:space="preserve"> 12000,-       </w:t>
        <w:tab/>
        <w:tab/>
        <w:t>Z</w:t>
      </w:r>
      <w:r>
        <w:rPr>
          <w:rFonts w:cs="Times New Roman" w:ascii="Times New Roman" w:hAnsi="Times New Roman"/>
          <w:b/>
          <w:sz w:val="22"/>
          <w:szCs w:val="22"/>
        </w:rPr>
        <w:t>ávazky  krátkodobé celkem</w:t>
        <w:tab/>
        <w:tab/>
        <w:t xml:space="preserve">                        </w:t>
        <w:tab/>
        <w:t xml:space="preserve">     </w:t>
        <w:tab/>
        <w:t xml:space="preserve">         105063,54</w:t>
      </w:r>
    </w:p>
    <w:p>
      <w:pPr>
        <w:pStyle w:val="Normal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3. 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>Hlavní činnost obce Teplička</w:t>
      </w:r>
      <w:r>
        <w:rPr>
          <w:rFonts w:cs="Times New Roman" w:ascii="Times New Roman" w:hAnsi="Times New Roman"/>
          <w:b/>
          <w:sz w:val="24"/>
          <w:szCs w:val="24"/>
          <w:u w:val="none"/>
        </w:rPr>
        <w:t xml:space="preserve"> - </w:t>
      </w:r>
      <w:r>
        <w:rPr>
          <w:rFonts w:cs="Times New Roman" w:ascii="Times New Roman" w:hAnsi="Times New Roman"/>
          <w:sz w:val="22"/>
          <w:szCs w:val="22"/>
        </w:rPr>
        <w:t xml:space="preserve">Výsledek hospodaření běžného účetního období za rok 2021 vykazuje                </w:t>
        <w:tab/>
        <w:tab/>
        <w:tab/>
        <w:tab/>
        <w:tab/>
        <w:tab/>
        <w:tab/>
        <w:tab/>
        <w:tab/>
        <w:tab/>
        <w:t xml:space="preserve">ZISK ve výši </w:t>
      </w:r>
      <w:r>
        <w:rPr>
          <w:rFonts w:cs="Times New Roman" w:ascii="Times New Roman" w:hAnsi="Times New Roman"/>
          <w:b/>
          <w:bCs/>
          <w:sz w:val="22"/>
          <w:szCs w:val="22"/>
        </w:rPr>
        <w:t>134546,55 Kč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NÁKLADY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Z ČINNOSTI                                                                                                                                           syn.úč.</w:t>
        <w:tab/>
        <w:tab/>
        <w:tab/>
        <w:tab/>
        <w:tab/>
        <w:tab/>
        <w:tab/>
        <w:tab/>
        <w:tab/>
        <w:tab/>
        <w:tab/>
        <w:tab/>
        <w:tab/>
        <w:t xml:space="preserve">      Kč                                          </w:t>
      </w:r>
      <w:r>
        <w:rPr>
          <w:rFonts w:cs="Times New Roman" w:ascii="Times New Roman" w:hAnsi="Times New Roman"/>
          <w:sz w:val="22"/>
          <w:szCs w:val="22"/>
        </w:rPr>
        <w:t>501</w:t>
        <w:tab/>
        <w:t xml:space="preserve">Spotřeba materiálu </w:t>
      </w:r>
      <w:r>
        <w:rPr>
          <w:rFonts w:cs="Times New Roman" w:ascii="Times New Roman" w:hAnsi="Times New Roman"/>
          <w:sz w:val="12"/>
          <w:szCs w:val="12"/>
        </w:rPr>
        <w:t>Např. kancelářské potřeby, hygienické prostředky a nářadí, PHM, spotřební materiál při kulturních akcích obce atd.</w:t>
      </w:r>
      <w:r>
        <w:rPr>
          <w:rFonts w:cs="Times New Roman" w:ascii="Times New Roman" w:hAnsi="Times New Roman"/>
          <w:sz w:val="22"/>
          <w:szCs w:val="22"/>
        </w:rPr>
        <w:tab/>
        <w:tab/>
        <w:t>179200,14       502</w:t>
        <w:tab/>
        <w:t>Spotřeba energie</w:t>
        <w:tab/>
        <w:tab/>
        <w:tab/>
        <w:tab/>
        <w:tab/>
        <w:tab/>
        <w:tab/>
        <w:tab/>
        <w:tab/>
        <w:tab/>
        <w:t xml:space="preserve"> 116839,-      503 </w:t>
        <w:tab/>
        <w:t>spotřeba jiných neskladov.dodávek</w:t>
        <w:tab/>
        <w:tab/>
        <w:tab/>
        <w:tab/>
        <w:tab/>
        <w:tab/>
        <w:tab/>
        <w:tab/>
        <w:t xml:space="preserve">    4880,02    511</w:t>
        <w:tab/>
        <w:t>Opravy a udržování</w:t>
        <w:tab/>
        <w:tab/>
        <w:tab/>
        <w:tab/>
        <w:tab/>
        <w:tab/>
        <w:tab/>
        <w:tab/>
        <w:tab/>
        <w:tab/>
        <w:t>1295506,73   512</w:t>
        <w:tab/>
        <w:t>Cestovné</w:t>
        <w:tab/>
        <w:tab/>
        <w:tab/>
        <w:tab/>
        <w:tab/>
        <w:tab/>
        <w:tab/>
        <w:tab/>
        <w:t xml:space="preserve">    </w:t>
        <w:tab/>
        <w:tab/>
        <w:tab/>
        <w:t xml:space="preserve">        2772,-    513</w:t>
        <w:tab/>
        <w:t>náklady na reprezentaci</w:t>
        <w:tab/>
        <w:tab/>
        <w:tab/>
        <w:tab/>
        <w:tab/>
        <w:tab/>
        <w:t xml:space="preserve">    </w:t>
        <w:tab/>
        <w:tab/>
        <w:tab/>
        <w:tab/>
        <w:t xml:space="preserve">        4712,-    518</w:t>
        <w:tab/>
        <w:t>Ostatní služby</w:t>
        <w:tab/>
        <w:tab/>
        <w:tab/>
        <w:tab/>
        <w:tab/>
        <w:tab/>
        <w:tab/>
        <w:tab/>
        <w:tab/>
        <w:tab/>
        <w:tab/>
        <w:t xml:space="preserve">  342598,90  521</w:t>
        <w:tab/>
        <w:t>Mzdové náklady</w:t>
        <w:tab/>
        <w:tab/>
        <w:tab/>
        <w:tab/>
        <w:tab/>
        <w:tab/>
        <w:tab/>
        <w:tab/>
        <w:tab/>
        <w:tab/>
        <w:t xml:space="preserve">    648146,-    524</w:t>
        <w:tab/>
        <w:t xml:space="preserve">Zákonné sociální pojištění </w:t>
        <w:tab/>
        <w:tab/>
        <w:tab/>
        <w:tab/>
        <w:tab/>
        <w:tab/>
        <w:t xml:space="preserve">  </w:t>
        <w:tab/>
        <w:tab/>
        <w:tab/>
        <w:t xml:space="preserve">       74031,-   543</w:t>
        <w:tab/>
        <w:t>Dary</w:t>
        <w:tab/>
        <w:t>a jiná bezúplat. Předání</w:t>
        <w:tab/>
        <w:tab/>
        <w:tab/>
        <w:tab/>
        <w:tab/>
        <w:tab/>
        <w:tab/>
        <w:tab/>
        <w:tab/>
        <w:t xml:space="preserve">    69743,11  551</w:t>
        <w:tab/>
        <w:t>Odpisy dlouhodobého majetku</w:t>
        <w:tab/>
        <w:tab/>
        <w:tab/>
        <w:tab/>
        <w:tab/>
        <w:tab/>
        <w:tab/>
        <w:tab/>
        <w:tab/>
        <w:t xml:space="preserve">   180600,-    554</w:t>
        <w:tab/>
        <w:t>prodané pozemky</w:t>
        <w:tab/>
        <w:tab/>
        <w:tab/>
        <w:tab/>
        <w:tab/>
        <w:tab/>
        <w:tab/>
        <w:tab/>
        <w:tab/>
        <w:tab/>
        <w:t xml:space="preserve">      343,50   549</w:t>
        <w:tab/>
        <w:t>Ostatní náklady z činnosti</w:t>
        <w:tab/>
        <w:tab/>
        <w:tab/>
        <w:tab/>
        <w:tab/>
        <w:tab/>
        <w:tab/>
        <w:tab/>
        <w:tab/>
        <w:t xml:space="preserve"> 1078877,-</w:t>
        <w:tab/>
      </w:r>
      <w:r>
        <w:rPr>
          <w:rFonts w:cs="Times New Roman" w:ascii="Times New Roman" w:hAnsi="Times New Roman"/>
          <w:b/>
          <w:bCs/>
          <w:sz w:val="22"/>
          <w:szCs w:val="22"/>
        </w:rPr>
        <w:t>NÁKLADY Z ČINNOSTI CELKEM</w:t>
        <w:tab/>
        <w:tab/>
        <w:tab/>
        <w:t xml:space="preserve">        </w:t>
        <w:tab/>
        <w:tab/>
        <w:tab/>
        <w:t xml:space="preserve"> 3998249,40                          </w:t>
      </w:r>
      <w:r>
        <w:rPr>
          <w:rFonts w:cs="Times New Roman" w:ascii="Times New Roman" w:hAnsi="Times New Roman"/>
          <w:b/>
          <w:sz w:val="22"/>
          <w:szCs w:val="22"/>
        </w:rPr>
        <w:t>572</w:t>
        <w:tab/>
        <w:t>Náklady na transfery</w:t>
        <w:tab/>
        <w:tab/>
        <w:tab/>
        <w:tab/>
        <w:tab/>
        <w:tab/>
        <w:t xml:space="preserve">     </w:t>
        <w:tab/>
        <w:tab/>
        <w:t xml:space="preserve">     12460,-                             591</w:t>
        <w:tab/>
        <w:t>Daň z příjmů</w:t>
        <w:tab/>
        <w:tab/>
        <w:tab/>
        <w:tab/>
        <w:tab/>
        <w:tab/>
        <w:tab/>
        <w:t xml:space="preserve">              </w:t>
        <w:tab/>
        <w:t xml:space="preserve">   - 12540,-                  </w:t>
        <w:tab/>
        <w:tab/>
        <w:tab/>
        <w:tab/>
        <w:tab/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NÁKLADY CELKEM            3998169,40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VÝNOSY </w:t>
        <w:tab/>
      </w:r>
      <w:r>
        <w:rPr>
          <w:rFonts w:cs="Times New Roman" w:ascii="Times New Roman" w:hAnsi="Times New Roman"/>
          <w:sz w:val="22"/>
          <w:szCs w:val="22"/>
        </w:rPr>
        <w:t>603</w:t>
        <w:tab/>
        <w:t>Výnosy z pronájmu</w:t>
        <w:tab/>
        <w:tab/>
        <w:tab/>
        <w:tab/>
        <w:tab/>
        <w:tab/>
        <w:tab/>
        <w:tab/>
        <w:t xml:space="preserve">22839,-        </w:t>
        <w:tab/>
        <w:tab/>
        <w:t>605</w:t>
        <w:tab/>
        <w:t>Výnosy ze správních poplatků</w:t>
        <w:tab/>
        <w:tab/>
        <w:tab/>
        <w:tab/>
        <w:tab/>
        <w:tab/>
        <w:tab/>
        <w:t xml:space="preserve">    154,46     </w:t>
        <w:tab/>
        <w:tab/>
        <w:t>606</w:t>
        <w:tab/>
        <w:t>Výnosy z místních poplatků</w:t>
        <w:tab/>
        <w:tab/>
        <w:tab/>
        <w:tab/>
        <w:tab/>
        <w:tab/>
        <w:tab/>
        <w:t xml:space="preserve">84076,65   </w:t>
        <w:tab/>
        <w:tab/>
        <w:t>647</w:t>
        <w:tab/>
        <w:t>Výnosy z prodeje pozemků</w:t>
        <w:tab/>
        <w:tab/>
        <w:tab/>
        <w:tab/>
        <w:tab/>
        <w:tab/>
        <w:tab/>
        <w:t xml:space="preserve">  16030,-       </w:t>
        <w:tab/>
        <w:tab/>
        <w:t>649</w:t>
        <w:tab/>
        <w:t>Ostatní výnosy z činnosti</w:t>
        <w:tab/>
        <w:tab/>
        <w:tab/>
        <w:tab/>
        <w:tab/>
        <w:tab/>
        <w:tab/>
        <w:t>1905361,50</w:t>
      </w:r>
    </w:p>
    <w:p>
      <w:pPr>
        <w:pStyle w:val="Normal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>VÝNOSY Z ČINNOSTI CELKEM</w:t>
        <w:tab/>
        <w:tab/>
        <w:tab/>
        <w:t xml:space="preserve"> </w:t>
        <w:tab/>
        <w:tab/>
        <w:t xml:space="preserve"> 2028461,61</w:t>
      </w:r>
    </w:p>
    <w:p>
      <w:pPr>
        <w:pStyle w:val="Normal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>662 Úroky</w:t>
        <w:tab/>
        <w:tab/>
        <w:tab/>
        <w:tab/>
        <w:tab/>
        <w:tab/>
        <w:tab/>
        <w:tab/>
        <w:tab/>
        <w:tab/>
        <w:t xml:space="preserve">   94,46   </w:t>
        <w:tab/>
        <w:tab/>
      </w:r>
      <w:r>
        <w:rPr>
          <w:rFonts w:cs="Times New Roman" w:ascii="Times New Roman" w:hAnsi="Times New Roman"/>
          <w:b/>
          <w:sz w:val="22"/>
          <w:szCs w:val="22"/>
        </w:rPr>
        <w:t>FINANČNÍ VÝNOSY CELKEM</w:t>
        <w:tab/>
        <w:tab/>
        <w:tab/>
        <w:tab/>
        <w:tab/>
        <w:t xml:space="preserve">      94,46</w:t>
      </w:r>
    </w:p>
    <w:p>
      <w:pPr>
        <w:pStyle w:val="Normal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>672</w:t>
        <w:tab/>
        <w:t>Výnosy z transferů</w:t>
        <w:tab/>
        <w:tab/>
        <w:tab/>
        <w:tab/>
        <w:tab/>
        <w:tab/>
        <w:tab/>
        <w:tab/>
        <w:t xml:space="preserve">194128,43  </w:t>
        <w:tab/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VÝNOSY Z TRANSFERŮ CELKEM </w:t>
        <w:tab/>
        <w:tab/>
        <w:tab/>
        <w:tab/>
        <w:t>194128,43</w:t>
      </w:r>
    </w:p>
    <w:p>
      <w:pPr>
        <w:pStyle w:val="Normal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>681</w:t>
        <w:tab/>
        <w:t>Výnosy ze sdílené daně z příjmů fyzických osob</w:t>
        <w:tab/>
        <w:tab/>
        <w:tab/>
        <w:tab/>
        <w:t xml:space="preserve">385539,93   </w:t>
        <w:tab/>
        <w:tab/>
        <w:t>682</w:t>
        <w:tab/>
        <w:t>Výnosy ze sdílené daně z příjmů právnických osob</w:t>
        <w:tab/>
        <w:tab/>
        <w:tab/>
        <w:tab/>
        <w:t xml:space="preserve">440049,96   </w:t>
        <w:tab/>
        <w:tab/>
        <w:t>684</w:t>
        <w:tab/>
        <w:t>Výnosy ze sdílené daně z přidané hodnoty</w:t>
        <w:tab/>
        <w:tab/>
        <w:tab/>
        <w:tab/>
        <w:t xml:space="preserve">          1010117,11</w:t>
        <w:tab/>
        <w:tab/>
        <w:t>686</w:t>
        <w:tab/>
        <w:t>Výnosy ze sdílených majetkových daní</w:t>
        <w:tab/>
        <w:tab/>
        <w:tab/>
        <w:tab/>
        <w:tab/>
        <w:tab/>
        <w:t xml:space="preserve"> 59419,86    </w:t>
        <w:tab/>
        <w:tab/>
        <w:t>688</w:t>
        <w:tab/>
        <w:t xml:space="preserve">Výnosy z ostatních sdílených daní a poplatků </w:t>
        <w:tab/>
        <w:tab/>
        <w:tab/>
        <w:tab/>
        <w:t xml:space="preserve"> </w:t>
        <w:tab/>
        <w:t>14904,59</w:t>
        <w:tab/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VÝNOSY ZE SDÍLENÝCH DANÍ A POPL. CELKEM     </w:t>
        <w:tab/>
        <w:tab/>
        <w:t xml:space="preserve">1910031,45 </w:t>
      </w:r>
    </w:p>
    <w:p>
      <w:pPr>
        <w:pStyle w:val="Normal"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ab/>
        <w:tab/>
        <w:tab/>
        <w:tab/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VÝNOSY CELKEM</w:t>
        <w:tab/>
        <w:t xml:space="preserve"> 4132715,95</w:t>
      </w:r>
    </w:p>
    <w:p>
      <w:pPr>
        <w:pStyle w:val="Normal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2"/>
          <w:szCs w:val="22"/>
        </w:rPr>
        <w:t xml:space="preserve">NÁVRH – vyhotoveno v  Tepličce dne 21.4.2022  </w:t>
      </w:r>
      <w:r>
        <w:rPr>
          <w:rFonts w:cs="Times New Roman" w:ascii="Times New Roman" w:hAnsi="Times New Roman"/>
          <w:sz w:val="22"/>
          <w:szCs w:val="22"/>
        </w:rPr>
        <w:t xml:space="preserve">a 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byl schválen  na 3.</w:t>
      </w:r>
      <w:r>
        <w:rPr>
          <w:rFonts w:cs="Times New Roman" w:ascii="Times New Roman" w:hAnsi="Times New Roman"/>
          <w:sz w:val="22"/>
          <w:szCs w:val="22"/>
        </w:rPr>
        <w:t xml:space="preserve"> VZ  </w:t>
      </w:r>
      <w:r>
        <w:rPr>
          <w:rFonts w:cs="Times New Roman" w:ascii="Times New Roman" w:hAnsi="Times New Roman"/>
          <w:sz w:val="22"/>
          <w:szCs w:val="22"/>
        </w:rPr>
        <w:t>dne 30.5.</w:t>
      </w:r>
      <w:r>
        <w:rPr>
          <w:rFonts w:cs="Times New Roman" w:ascii="Times New Roman" w:hAnsi="Times New Roman"/>
          <w:sz w:val="22"/>
          <w:szCs w:val="22"/>
        </w:rPr>
        <w:t xml:space="preserve">2022                  </w:t>
      </w:r>
    </w:p>
    <w:p>
      <w:pPr>
        <w:pStyle w:val="Normal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left"/>
        <w:rPr/>
      </w:pPr>
      <w:bookmarkStart w:id="1" w:name="__UnoMark__623_4065746535"/>
      <w:bookmarkEnd w:id="1"/>
      <w:r>
        <w:rPr>
          <w:rFonts w:cs="Times New Roman" w:ascii="Times New Roman" w:hAnsi="Times New Roman"/>
          <w:sz w:val="22"/>
          <w:szCs w:val="22"/>
        </w:rPr>
        <w:t>T</w:t>
      </w:r>
      <w:r>
        <w:rPr>
          <w:rFonts w:cs="Times New Roman" w:ascii="Times New Roman" w:hAnsi="Times New Roman"/>
          <w:sz w:val="18"/>
          <w:szCs w:val="18"/>
        </w:rPr>
        <w:t xml:space="preserve">ento dokument je zveřejněn taktéž na internetových stránkách obce (umožňující dálkový přístup) </w:t>
      </w:r>
      <w:hyperlink r:id="rId3">
        <w:r>
          <w:rPr>
            <w:rStyle w:val="Internetovodkaz"/>
            <w:rFonts w:cs="Times New Roman" w:ascii="Times New Roman" w:hAnsi="Times New Roman"/>
            <w:sz w:val="18"/>
            <w:szCs w:val="18"/>
          </w:rPr>
          <w:t>www.teplicka.cz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...index.php?oid=227999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2"/>
          <w:szCs w:val="22"/>
        </w:rPr>
        <w:t xml:space="preserve">                       </w:t>
      </w: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jc w:val="left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>starostka:  Hana Bartošová</w:t>
      </w:r>
    </w:p>
    <w:p>
      <w:pPr>
        <w:pStyle w:val="Normal"/>
        <w:spacing w:before="0" w:after="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200"/>
        <w:jc w:val="left"/>
        <w:rPr/>
      </w:pPr>
      <w:r>
        <w:rPr>
          <w:rFonts w:cs="Times New Roman" w:ascii="Times New Roman" w:hAnsi="Times New Roman"/>
          <w:sz w:val="22"/>
          <w:szCs w:val="22"/>
        </w:rPr>
        <w:t xml:space="preserve">VYVĚŠENO </w:t>
      </w:r>
      <w:r>
        <w:rPr>
          <w:rFonts w:cs="Times New Roman" w:ascii="Times New Roman" w:hAnsi="Times New Roman"/>
          <w:sz w:val="22"/>
          <w:szCs w:val="22"/>
        </w:rPr>
        <w:t>8.6</w:t>
      </w:r>
      <w:r>
        <w:rPr>
          <w:rFonts w:cs="Times New Roman" w:ascii="Times New Roman" w:hAnsi="Times New Roman"/>
          <w:sz w:val="22"/>
          <w:szCs w:val="22"/>
        </w:rPr>
        <w:t>2022</w:t>
        <w:tab/>
        <w:tab/>
        <w:tab/>
        <w:tab/>
        <w:tab/>
        <w:tab/>
        <w:tab/>
        <w:t xml:space="preserve">SEJMUTO: </w:t>
      </w:r>
    </w:p>
    <w:sectPr>
      <w:type w:val="nextPage"/>
      <w:pgSz w:w="11906" w:h="16838"/>
      <w:pgMar w:left="613" w:right="693" w:header="0" w:top="680" w:footer="0" w:bottom="70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24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109f1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7e2741"/>
    <w:rPr/>
  </w:style>
  <w:style w:type="character" w:styleId="ZpatChar" w:customStyle="1">
    <w:name w:val="Zápatí Char"/>
    <w:basedOn w:val="DefaultParagraphFont"/>
    <w:link w:val="Zpat"/>
    <w:uiPriority w:val="99"/>
    <w:qFormat/>
    <w:rsid w:val="007e2741"/>
    <w:rPr/>
  </w:style>
  <w:style w:type="character" w:styleId="ListLabel1">
    <w:name w:val="ListLabel 1"/>
    <w:qFormat/>
    <w:rPr>
      <w:b/>
      <w:u w:val="single"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character" w:styleId="ListLabel3">
    <w:name w:val="ListLabel 3"/>
    <w:qFormat/>
    <w:rPr>
      <w:rFonts w:ascii="Times New Roman" w:hAnsi="Times New Roman"/>
      <w:b/>
      <w:sz w:val="28"/>
    </w:rPr>
  </w:style>
  <w:style w:type="character" w:styleId="ListLabel4">
    <w:name w:val="ListLabel 4"/>
    <w:qFormat/>
    <w:rPr>
      <w:b/>
      <w:sz w:val="28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b/>
      <w:sz w:val="28"/>
    </w:rPr>
  </w:style>
  <w:style w:type="character" w:styleId="ListLabel7">
    <w:name w:val="ListLabel 7"/>
    <w:qFormat/>
    <w:rPr>
      <w:b/>
      <w:sz w:val="28"/>
    </w:rPr>
  </w:style>
  <w:style w:type="character" w:styleId="ListLabel8">
    <w:name w:val="ListLabel 8"/>
    <w:qFormat/>
    <w:rPr>
      <w:b/>
      <w:sz w:val="28"/>
    </w:rPr>
  </w:style>
  <w:style w:type="character" w:styleId="ListLabel9">
    <w:name w:val="ListLabel 9"/>
    <w:qFormat/>
    <w:rPr>
      <w:b/>
      <w:sz w:val="28"/>
    </w:rPr>
  </w:style>
  <w:style w:type="character" w:styleId="ListLabel10">
    <w:name w:val="ListLabel 10"/>
    <w:qFormat/>
    <w:rPr>
      <w:b/>
      <w:sz w:val="28"/>
    </w:rPr>
  </w:style>
  <w:style w:type="character" w:styleId="ListLabel11">
    <w:name w:val="ListLabel 11"/>
    <w:qFormat/>
    <w:rPr>
      <w:b/>
      <w:sz w:val="28"/>
    </w:rPr>
  </w:style>
  <w:style w:type="character" w:styleId="ListLabel12">
    <w:name w:val="ListLabel 12"/>
    <w:qFormat/>
    <w:rPr>
      <w:b/>
      <w:sz w:val="22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b/>
      <w:sz w:val="22"/>
    </w:rPr>
  </w:style>
  <w:style w:type="character" w:styleId="ListLabel14">
    <w:name w:val="ListLabel 14"/>
    <w:qFormat/>
    <w:rPr>
      <w:rFonts w:ascii="Times New Roman" w:hAnsi="Times New Roman" w:cs="Times New Roman"/>
      <w:sz w:val="18"/>
      <w:szCs w:val="18"/>
    </w:rPr>
  </w:style>
  <w:style w:type="character" w:styleId="ListLabel15">
    <w:name w:val="ListLabel 15"/>
    <w:qFormat/>
    <w:rPr>
      <w:b/>
      <w:sz w:val="22"/>
    </w:rPr>
  </w:style>
  <w:style w:type="character" w:styleId="ListLabel16">
    <w:name w:val="ListLabel 16"/>
    <w:qFormat/>
    <w:rPr>
      <w:rFonts w:ascii="Times New Roman" w:hAnsi="Times New Roman" w:cs="Times New Roman"/>
      <w:sz w:val="18"/>
      <w:szCs w:val="18"/>
    </w:rPr>
  </w:style>
  <w:style w:type="character" w:styleId="ListLabel17">
    <w:name w:val="ListLabel 17"/>
    <w:qFormat/>
    <w:rPr>
      <w:b/>
      <w:sz w:val="22"/>
    </w:rPr>
  </w:style>
  <w:style w:type="character" w:styleId="ListLabel18">
    <w:name w:val="ListLabel 18"/>
    <w:qFormat/>
    <w:rPr>
      <w:rFonts w:ascii="Times New Roman" w:hAnsi="Times New Roman" w:cs="Times New Roman"/>
      <w:sz w:val="18"/>
      <w:szCs w:val="18"/>
    </w:rPr>
  </w:style>
  <w:style w:type="character" w:styleId="ListLabel19">
    <w:name w:val="ListLabel 19"/>
    <w:qFormat/>
    <w:rPr>
      <w:b/>
      <w:sz w:val="22"/>
    </w:rPr>
  </w:style>
  <w:style w:type="character" w:styleId="ListLabel20">
    <w:name w:val="ListLabel 20"/>
    <w:qFormat/>
    <w:rPr>
      <w:rFonts w:ascii="Times New Roman" w:hAnsi="Times New Roman" w:cs="Times New Roman"/>
      <w:sz w:val="18"/>
      <w:szCs w:val="18"/>
    </w:rPr>
  </w:style>
  <w:style w:type="character" w:styleId="ListLabel21">
    <w:name w:val="ListLabel 21"/>
    <w:qFormat/>
    <w:rPr>
      <w:b/>
      <w:sz w:val="22"/>
    </w:rPr>
  </w:style>
  <w:style w:type="character" w:styleId="ListLabel22">
    <w:name w:val="ListLabel 22"/>
    <w:qFormat/>
    <w:rPr>
      <w:rFonts w:ascii="Times New Roman" w:hAnsi="Times New Roman" w:cs="Times New Roman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109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368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7e274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e274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teplicka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LibreOffice/6.2.4.2$Windows_X86_64 LibreOffice_project/2412653d852ce75f65fbfa83fb7e7b669a126d64</Application>
  <Pages>2</Pages>
  <Words>492</Words>
  <Characters>2924</Characters>
  <CharactersWithSpaces>4520</CharactersWithSpaces>
  <Paragraphs>23</Paragraphs>
  <Company>Karlovarský kraj Krajský úřad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2018-06-11T17:06:00Z</dcterms:created>
  <dc:creator>Sloupová Olga</dc:creator>
  <dc:description/>
  <dc:language>cs-CZ</dc:language>
  <cp:lastModifiedBy/>
  <cp:lastPrinted>2022-06-08T11:49:53Z</cp:lastPrinted>
  <dcterms:modified xsi:type="dcterms:W3CDTF">2022-06-08T11:50:16Z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Karlovarský kraj Krajský úřad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